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D817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313C41">
        <w:rPr>
          <w:rFonts w:ascii="Arial" w:hAnsi="Arial"/>
          <w:b/>
          <w:color w:val="002060"/>
          <w:sz w:val="48"/>
          <w:szCs w:val="48"/>
        </w:rPr>
        <w:t>I</w:t>
      </w:r>
    </w:p>
    <w:p w14:paraId="3866C1B9" w14:textId="77777777"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5922A81A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</w:t>
      </w:r>
      <w:r w:rsidR="00ED2309">
        <w:rPr>
          <w:rFonts w:ascii="Arial" w:hAnsi="Arial"/>
          <w:b/>
          <w:color w:val="002060"/>
          <w:sz w:val="36"/>
          <w:szCs w:val="36"/>
        </w:rPr>
        <w:t>żonych osiągnięć ucznia –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 w:rsidR="00313C41">
        <w:rPr>
          <w:rFonts w:ascii="Arial" w:hAnsi="Arial"/>
          <w:b/>
          <w:color w:val="002060"/>
          <w:sz w:val="36"/>
          <w:szCs w:val="36"/>
        </w:rPr>
        <w:t>I</w:t>
      </w:r>
    </w:p>
    <w:p w14:paraId="2197DBBE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59D5C9E2" w14:textId="77777777" w:rsidR="00183D35" w:rsidRPr="00FF7772" w:rsidRDefault="00ED2309" w:rsidP="00183D35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79AED657" w14:textId="77777777"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14:paraId="4361AF62" w14:textId="77777777"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14:paraId="15920C1C" w14:textId="77777777"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14:paraId="1EE748EB" w14:textId="77777777" w:rsidR="00D75C1C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35439" w:history="1"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1.</w:t>
        </w:r>
        <w:r w:rsidR="00D75C1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75C1C">
          <w:rPr>
            <w:noProof/>
            <w:webHidden/>
          </w:rPr>
          <w:tab/>
        </w:r>
        <w:r w:rsidR="00D75C1C">
          <w:rPr>
            <w:noProof/>
            <w:webHidden/>
          </w:rPr>
          <w:fldChar w:fldCharType="begin"/>
        </w:r>
        <w:r w:rsidR="00D75C1C">
          <w:rPr>
            <w:noProof/>
            <w:webHidden/>
          </w:rPr>
          <w:instrText xml:space="preserve"> PAGEREF _Toc16435439 \h </w:instrText>
        </w:r>
        <w:r w:rsidR="00D75C1C">
          <w:rPr>
            <w:noProof/>
            <w:webHidden/>
          </w:rPr>
        </w:r>
        <w:r w:rsidR="00D75C1C">
          <w:rPr>
            <w:noProof/>
            <w:webHidden/>
          </w:rPr>
          <w:fldChar w:fldCharType="separate"/>
        </w:r>
        <w:r w:rsidR="00D75C1C">
          <w:rPr>
            <w:noProof/>
            <w:webHidden/>
          </w:rPr>
          <w:t>2</w:t>
        </w:r>
        <w:r w:rsidR="00D75C1C">
          <w:rPr>
            <w:noProof/>
            <w:webHidden/>
          </w:rPr>
          <w:fldChar w:fldCharType="end"/>
        </w:r>
      </w:hyperlink>
    </w:p>
    <w:p w14:paraId="29E5226F" w14:textId="77777777" w:rsidR="00D75C1C" w:rsidRDefault="00680154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0" w:history="1">
        <w:r w:rsidR="00D75C1C" w:rsidRPr="00F236CD">
          <w:rPr>
            <w:rStyle w:val="Hipercze"/>
            <w:rFonts w:ascii="Arial" w:hAnsi="Arial" w:cs="Arial"/>
            <w:noProof/>
          </w:rPr>
          <w:t>2.</w:t>
        </w:r>
        <w:r w:rsidR="00D75C1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 w:rsidR="00D75C1C">
          <w:rPr>
            <w:noProof/>
            <w:webHidden/>
          </w:rPr>
          <w:tab/>
        </w:r>
        <w:r w:rsidR="00D75C1C">
          <w:rPr>
            <w:noProof/>
            <w:webHidden/>
          </w:rPr>
          <w:fldChar w:fldCharType="begin"/>
        </w:r>
        <w:r w:rsidR="00D75C1C">
          <w:rPr>
            <w:noProof/>
            <w:webHidden/>
          </w:rPr>
          <w:instrText xml:space="preserve"> PAGEREF _Toc16435440 \h </w:instrText>
        </w:r>
        <w:r w:rsidR="00D75C1C">
          <w:rPr>
            <w:noProof/>
            <w:webHidden/>
          </w:rPr>
        </w:r>
        <w:r w:rsidR="00D75C1C">
          <w:rPr>
            <w:noProof/>
            <w:webHidden/>
          </w:rPr>
          <w:fldChar w:fldCharType="separate"/>
        </w:r>
        <w:r w:rsidR="00D75C1C">
          <w:rPr>
            <w:noProof/>
            <w:webHidden/>
          </w:rPr>
          <w:t>4</w:t>
        </w:r>
        <w:r w:rsidR="00D75C1C">
          <w:rPr>
            <w:noProof/>
            <w:webHidden/>
          </w:rPr>
          <w:fldChar w:fldCharType="end"/>
        </w:r>
      </w:hyperlink>
    </w:p>
    <w:p w14:paraId="5666C59A" w14:textId="77777777" w:rsidR="00D75C1C" w:rsidRDefault="00D75C1C" w:rsidP="00ED230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3FB79783" w14:textId="77777777"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4247760"/>
      <w:bookmarkStart w:id="2" w:name="_Toc484247758"/>
    </w:p>
    <w:p w14:paraId="013C4C05" w14:textId="77777777"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3" w:name="_Toc16435439"/>
      <w:r>
        <w:rPr>
          <w:rFonts w:ascii="Arial" w:hAnsi="Arial" w:cs="Arial"/>
          <w:snapToGrid w:val="0"/>
        </w:rPr>
        <w:lastRenderedPageBreak/>
        <w:t>Obliczenia w arkuszu kalkulacyjnym</w:t>
      </w:r>
      <w:bookmarkEnd w:id="1"/>
      <w:bookmarkEnd w:id="3"/>
    </w:p>
    <w:p w14:paraId="013CFD9D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1BDA2071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1A1B5B11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14:paraId="2681555C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14:paraId="4AB472C4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14:paraId="07A39E37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14:paraId="2AF9470C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14:paraId="38277180" w14:textId="77777777"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14:paraId="5C3A02AE" w14:textId="77777777"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14:paraId="7D9C8A67" w14:textId="77777777" w:rsidTr="0051057D">
        <w:trPr>
          <w:cantSplit/>
        </w:trPr>
        <w:tc>
          <w:tcPr>
            <w:tcW w:w="14140" w:type="dxa"/>
            <w:gridSpan w:val="5"/>
            <w:hideMark/>
          </w:tcPr>
          <w:p w14:paraId="3885BC7B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14:paraId="3C643C0E" w14:textId="77777777" w:rsidTr="0051057D">
        <w:tc>
          <w:tcPr>
            <w:tcW w:w="2828" w:type="dxa"/>
            <w:hideMark/>
          </w:tcPr>
          <w:p w14:paraId="79769BCF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14:paraId="564440EB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14:paraId="137B66CB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0023310C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611D4EC8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14:paraId="7FEFE366" w14:textId="77777777" w:rsidTr="0051057D">
        <w:tc>
          <w:tcPr>
            <w:tcW w:w="2828" w:type="dxa"/>
            <w:hideMark/>
          </w:tcPr>
          <w:p w14:paraId="6C60AE70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14:paraId="5410F838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14:paraId="2A0F6E29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D01F15D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E9547CA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14:paraId="4E3E2FD6" w14:textId="77777777" w:rsidTr="0051057D">
        <w:tc>
          <w:tcPr>
            <w:tcW w:w="2828" w:type="dxa"/>
            <w:hideMark/>
          </w:tcPr>
          <w:p w14:paraId="30F3CA26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14:paraId="139EE4A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14:paraId="51B6B422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14:paraId="6929518B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14:paraId="712A2F7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14:paraId="7A6CC11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3939C610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14:paraId="78701AC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14:paraId="7FBFD1E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14:paraId="7CE573B2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wierszu;</w:t>
            </w:r>
          </w:p>
          <w:p w14:paraId="09946496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14:paraId="1CE377C8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14:paraId="5D76EA5A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14:paraId="36096F7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14:paraId="2305E9D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14:paraId="34E9C7F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14:paraId="07A9DC5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14:paraId="1A762476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41618135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54A6ACE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stosuje funkcję 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 xml:space="preserve">do dodawania liczb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zawartych w kolumnie lub wierszu;</w:t>
            </w:r>
          </w:p>
          <w:p w14:paraId="19436A1E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14:paraId="4A4AB8B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14:paraId="2F9D510C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14:paraId="413B09E8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14:paraId="10F7ED3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14:paraId="1254FC7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14:paraId="61669A74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i dostrzega związek między postacią formuły funkcji SUMA na pasku formuły a zakresem zaznaczonych komórek;</w:t>
            </w:r>
          </w:p>
          <w:p w14:paraId="38402E94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wykonuje obliczenia w arkuszu kalkulacyjnym, tworząc formuły oparte na adresach komórek;</w:t>
            </w:r>
          </w:p>
          <w:p w14:paraId="1147C6D3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Autosumowanie</w:t>
            </w:r>
            <w:proofErr w:type="spellEnd"/>
            <w:r>
              <w:rPr>
                <w:rFonts w:ascii="Arial" w:hAnsi="Arial"/>
                <w:lang w:eastAsia="en-US"/>
              </w:rPr>
              <w:t>;</w:t>
            </w:r>
          </w:p>
          <w:p w14:paraId="09A3451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14:paraId="579DBB20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14:paraId="59209091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Autosumowanie</w:t>
            </w:r>
            <w:proofErr w:type="spellEnd"/>
            <w:r>
              <w:rPr>
                <w:rFonts w:ascii="Arial" w:hAnsi="Arial"/>
                <w:lang w:eastAsia="en-US"/>
              </w:rPr>
              <w:t>;</w:t>
            </w:r>
          </w:p>
          <w:p w14:paraId="5156F1A0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14:paraId="0F8076FF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14:paraId="4E61CF6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14:paraId="195DA5A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14:paraId="38A9340A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14:paraId="42BDF42B" w14:textId="77777777"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br w:type="page"/>
      </w:r>
      <w:bookmarkStart w:id="4" w:name="_Toc484247761"/>
      <w:bookmarkStart w:id="5" w:name="_Toc16435440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4"/>
      <w:bookmarkEnd w:id="5"/>
    </w:p>
    <w:p w14:paraId="0C4CDDC8" w14:textId="77777777"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14:paraId="7BE4F20E" w14:textId="77777777"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14:paraId="19271054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14:paraId="0AAA2921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14:paraId="3CF89CD2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14:paraId="28A50938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14:paraId="5E5F7685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14:paraId="0F52A99B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14:paraId="71415840" w14:textId="77777777"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14:paraId="72E3913F" w14:textId="77777777"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E7305A" w14:paraId="2D91A046" w14:textId="77777777" w:rsidTr="0051057D">
        <w:tc>
          <w:tcPr>
            <w:tcW w:w="14140" w:type="dxa"/>
            <w:gridSpan w:val="5"/>
            <w:hideMark/>
          </w:tcPr>
          <w:p w14:paraId="1F4823C9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14:paraId="2A5FD49B" w14:textId="77777777" w:rsidTr="0051057D">
        <w:tc>
          <w:tcPr>
            <w:tcW w:w="2828" w:type="dxa"/>
            <w:hideMark/>
          </w:tcPr>
          <w:p w14:paraId="46BE777E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13FB035A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1FBC60B9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18D7688F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1AD2F724" w14:textId="77777777"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14:paraId="5387670E" w14:textId="77777777" w:rsidTr="0051057D">
        <w:tc>
          <w:tcPr>
            <w:tcW w:w="2828" w:type="dxa"/>
            <w:hideMark/>
          </w:tcPr>
          <w:p w14:paraId="396BFE73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F0D47D5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B89B037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C39EEF2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5907FE6" w14:textId="77777777"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14:paraId="3F1737DA" w14:textId="77777777" w:rsidTr="0051057D">
        <w:tc>
          <w:tcPr>
            <w:tcW w:w="2828" w:type="dxa"/>
            <w:hideMark/>
          </w:tcPr>
          <w:p w14:paraId="0C896F63" w14:textId="77777777"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14:paraId="0F82E0A4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14:paraId="2AF0A57B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14:paraId="6D093879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14:paraId="15C85D2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14:paraId="42AADA9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14:paraId="2F91A86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14:paraId="01F567E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14:paraId="3EA0F55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14:paraId="3FF2042C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14:paraId="4296E17A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14:paraId="3154E8D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14:paraId="2174C8E3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14:paraId="184B64F7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14:paraId="1F6D098F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14:paraId="351484C6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14:paraId="6F3660E4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14:paraId="142FF72D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14:paraId="0F2A4601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14:paraId="63CC40DE" w14:textId="77777777"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14:paraId="2DE180CE" w14:textId="77777777"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14:paraId="78C677F0" w14:textId="77777777" w:rsidR="00756ABB" w:rsidRDefault="00756ABB" w:rsidP="00756ABB"/>
    <w:bookmarkEnd w:id="2"/>
    <w:p w14:paraId="70F438E8" w14:textId="77777777"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</w:p>
    <w:sectPr w:rsidR="00756ABB" w:rsidSect="00384E10">
      <w:headerReference w:type="even" r:id="rId8"/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4DFB" w14:textId="77777777" w:rsidR="00680154" w:rsidRDefault="00680154">
      <w:r>
        <w:separator/>
      </w:r>
    </w:p>
  </w:endnote>
  <w:endnote w:type="continuationSeparator" w:id="0">
    <w:p w14:paraId="1B0FD18E" w14:textId="77777777" w:rsidR="00680154" w:rsidRDefault="006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A4C3" w14:textId="77777777" w:rsidR="00680154" w:rsidRDefault="00680154">
      <w:r>
        <w:separator/>
      </w:r>
    </w:p>
  </w:footnote>
  <w:footnote w:type="continuationSeparator" w:id="0">
    <w:p w14:paraId="29742571" w14:textId="77777777" w:rsidR="00680154" w:rsidRDefault="0068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4576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68B8015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6660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30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B387ECB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 w15:restartNumberingAfterBreak="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8"/>
  </w:num>
  <w:num w:numId="40">
    <w:abstractNumId w:val="35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182A"/>
    <w:rsid w:val="00663764"/>
    <w:rsid w:val="0066470D"/>
    <w:rsid w:val="006667E6"/>
    <w:rsid w:val="006734F0"/>
    <w:rsid w:val="00677893"/>
    <w:rsid w:val="00680154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2309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5CF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9DFDA"/>
  <w14:defaultImageDpi w14:val="0"/>
  <w15:docId w15:val="{1B245C77-3B0E-4418-A869-1E09A1D6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E96D-B89D-4CEE-819E-E8906A9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Justyna</cp:lastModifiedBy>
  <cp:revision>2</cp:revision>
  <cp:lastPrinted>2016-08-19T08:39:00Z</cp:lastPrinted>
  <dcterms:created xsi:type="dcterms:W3CDTF">2020-10-05T19:50:00Z</dcterms:created>
  <dcterms:modified xsi:type="dcterms:W3CDTF">2020-10-05T19:50:00Z</dcterms:modified>
</cp:coreProperties>
</file>